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1633D0" w:rsidRDefault="00B831C3">
      <w:pPr>
        <w:rPr>
          <w:rFonts w:ascii="GHEA Mariam" w:hAnsi="GHEA Mariam"/>
        </w:rPr>
      </w:pPr>
      <w:r w:rsidRPr="001633D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1A0BCDE0">
                <wp:simplePos x="0" y="0"/>
                <wp:positionH relativeFrom="margin">
                  <wp:posOffset>2743200</wp:posOffset>
                </wp:positionH>
                <wp:positionV relativeFrom="paragraph">
                  <wp:posOffset>20955</wp:posOffset>
                </wp:positionV>
                <wp:extent cx="34290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5120C163" w:rsidR="00B831C3" w:rsidRPr="00FB6133" w:rsidRDefault="00FB6133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B6133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ԱՐԲԻՏՐԱԺԻ ԵՎ ՀԱՇՏԱՐԱՐՈՒԹՅԱՆ ՀԱՅԱՍՏԱՆՅԱՆ ԿԵՆՏՐՈՆ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.65pt;width:270pt;height:5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" fillcolor="white [3201]" stroked="f" strokeweight=".5pt">
                <v:textbox>
                  <w:txbxContent>
                    <w:p w14:paraId="49A99048" w14:textId="5120C163" w:rsidR="00B831C3" w:rsidRPr="00FB6133" w:rsidRDefault="00FB6133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B6133"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ԱՐԲԻՏՐԱԺԻ ԵՎ ՀԱՇՏԱՐԱՐՈՒԹՅԱՆ ՀԱՅԱՍՏԱՆՅԱՆ ԿԵՆՏՐՈՆ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3D0">
        <w:rPr>
          <w:rFonts w:ascii="GHEA Mariam" w:hAnsi="GHEA Mariam"/>
          <w:noProof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1633D0" w:rsidRDefault="00F84307" w:rsidP="00B831C3">
      <w:pPr>
        <w:rPr>
          <w:rFonts w:ascii="GHEA Mariam" w:hAnsi="GHEA Mariam"/>
        </w:rPr>
      </w:pPr>
      <w:r w:rsidRPr="001633D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1633D0" w:rsidRDefault="00B831C3" w:rsidP="00B831C3">
      <w:pPr>
        <w:rPr>
          <w:rFonts w:ascii="GHEA Mariam" w:hAnsi="GHEA Mariam"/>
        </w:rPr>
      </w:pPr>
    </w:p>
    <w:p w14:paraId="6C387360" w14:textId="77777777" w:rsidR="00FB6133" w:rsidRPr="00221FCB" w:rsidRDefault="00FB6133" w:rsidP="00FB6133">
      <w:pPr>
        <w:rPr>
          <w:rFonts w:ascii="GHEA Mariam" w:hAnsi="GHEA Mariam"/>
          <w:b/>
          <w:color w:val="2F5496" w:themeColor="accent1" w:themeShade="BF"/>
        </w:rPr>
      </w:pPr>
    </w:p>
    <w:p w14:paraId="331F6CC0" w14:textId="77777777" w:rsidR="00344D99" w:rsidRPr="00344D99" w:rsidRDefault="00344D99" w:rsidP="00344D99">
      <w:pPr>
        <w:jc w:val="center"/>
        <w:rPr>
          <w:rFonts w:ascii="GHEA Mariam" w:hAnsi="GHEA Mariam" w:cs="Sylfaen"/>
          <w:b/>
          <w:color w:val="002060"/>
        </w:rPr>
      </w:pPr>
      <w:r w:rsidRPr="00344D99">
        <w:rPr>
          <w:rFonts w:ascii="GHEA Mariam" w:hAnsi="GHEA Mariam" w:cs="Sylfaen"/>
          <w:b/>
          <w:color w:val="002060"/>
        </w:rPr>
        <w:t>ԱՐԲԻՏՐԱԺԱՅԻՆ</w:t>
      </w:r>
      <w:r w:rsidRPr="00344D99">
        <w:rPr>
          <w:rFonts w:ascii="GHEA Mariam" w:hAnsi="GHEA Mariam"/>
          <w:b/>
          <w:color w:val="002060"/>
        </w:rPr>
        <w:t xml:space="preserve"> </w:t>
      </w:r>
      <w:r w:rsidRPr="00344D99">
        <w:rPr>
          <w:rFonts w:ascii="GHEA Mariam" w:hAnsi="GHEA Mariam" w:cs="Sylfaen"/>
          <w:b/>
          <w:color w:val="002060"/>
        </w:rPr>
        <w:t>ՎԵՐԱՊԱՀՈՒՄ</w:t>
      </w:r>
    </w:p>
    <w:p w14:paraId="579BBEE4" w14:textId="77777777" w:rsidR="00344D99" w:rsidRPr="00344D99" w:rsidRDefault="00344D99" w:rsidP="00344D99">
      <w:pPr>
        <w:jc w:val="center"/>
        <w:rPr>
          <w:rFonts w:ascii="GHEA Mariam" w:hAnsi="GHEA Mariam"/>
        </w:rPr>
      </w:pPr>
    </w:p>
    <w:p w14:paraId="0CF71310" w14:textId="77777777" w:rsidR="00344D99" w:rsidRPr="00344D99" w:rsidRDefault="00344D99" w:rsidP="00344D9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Սույն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պայմանագրից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բխող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 xml:space="preserve"> և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դրա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կապակցությամբ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</w:rPr>
        <w:t>կողմերի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</w:rPr>
        <w:t>միջև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ծագած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</w:rPr>
        <w:t>բոլոր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վեճերի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լուծումը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հանձնվում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 xml:space="preserve"> է</w:t>
      </w:r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</w:rPr>
        <w:t>«ԱՐԲԻՏՐԱԺԻ ԵՎ ՀԱՇՏԱՐԱՐՈՒԹՅԱՆ ՀԱՅԱՍՏԱՆՅԱՆ ԿԵՆՏՐՈՆ» (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այսուհետ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`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Կենտրոն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)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հիմնադրամին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: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Արբիտրաժային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վարույթի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նկատմամբ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կիրառվում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են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Կենտրոնի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կողմից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հաստատված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Արբիտրաժային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կանոնները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>:</w:t>
      </w:r>
    </w:p>
    <w:p w14:paraId="7DA3054E" w14:textId="77777777" w:rsidR="00344D99" w:rsidRPr="00344D99" w:rsidRDefault="00344D99" w:rsidP="00344D9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Վեճը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լուծվելու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է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մեկ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արբիտրի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344D99">
        <w:rPr>
          <w:rFonts w:ascii="GHEA Mariam" w:eastAsia="Times New Roman" w:hAnsi="GHEA Mariam" w:cs="Sylfaen"/>
          <w:color w:val="000000" w:themeColor="text1"/>
          <w:lang w:val="hy-AM"/>
        </w:rPr>
        <w:t>կողմից</w:t>
      </w:r>
      <w:r w:rsidRPr="00344D99">
        <w:rPr>
          <w:rFonts w:ascii="GHEA Mariam" w:eastAsia="Times New Roman" w:hAnsi="GHEA Mariam" w:cs="Times New Roman"/>
          <w:color w:val="000000" w:themeColor="text1"/>
        </w:rPr>
        <w:t xml:space="preserve">: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Արբիտրաժի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լեզուն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հայերենն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 xml:space="preserve"> է</w:t>
      </w:r>
      <w:r w:rsidRPr="00344D99">
        <w:rPr>
          <w:rFonts w:ascii="GHEA Mariam" w:eastAsia="Times New Roman" w:hAnsi="GHEA Mariam" w:cs="Times New Roman"/>
          <w:color w:val="000000" w:themeColor="text1"/>
        </w:rPr>
        <w:t xml:space="preserve">,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արբիտրաժի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վայրը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`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քաղաք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Երևան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  <w:lang w:val="hy-AM"/>
        </w:rPr>
        <w:t>ը</w:t>
      </w:r>
      <w:r w:rsidRPr="00344D99">
        <w:rPr>
          <w:rFonts w:ascii="GHEA Mariam" w:eastAsia="Times New Roman" w:hAnsi="GHEA Mariam" w:cs="Sylfaen"/>
          <w:color w:val="000000" w:themeColor="text1"/>
        </w:rPr>
        <w:t>։</w:t>
      </w:r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</w:rPr>
        <w:t>Արբիտրաժային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</w:rPr>
        <w:t>համաձայնության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և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վեճի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նկատմամբ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կիրառվում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344D99">
        <w:rPr>
          <w:rFonts w:ascii="GHEA Mariam" w:eastAsia="Times New Roman" w:hAnsi="GHEA Mariam" w:cs="Sylfaen"/>
          <w:color w:val="000000" w:themeColor="text1"/>
        </w:rPr>
        <w:t>է</w:t>
      </w:r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Հայաստանի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Sylfaen"/>
          <w:color w:val="000000" w:themeColor="text1"/>
        </w:rPr>
        <w:t>Հանրապետության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</w:rPr>
        <w:t>իրավունքը</w:t>
      </w:r>
      <w:proofErr w:type="spellEnd"/>
      <w:r w:rsidRPr="00344D99">
        <w:rPr>
          <w:rFonts w:ascii="GHEA Mariam" w:eastAsia="Times New Roman" w:hAnsi="GHEA Mariam" w:cs="Sylfaen"/>
          <w:color w:val="000000" w:themeColor="text1"/>
        </w:rPr>
        <w:t>։</w:t>
      </w:r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</w:p>
    <w:p w14:paraId="720F7FE3" w14:textId="77777777" w:rsidR="00344D99" w:rsidRPr="00344D99" w:rsidRDefault="00344D99" w:rsidP="00344D9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Կողմերի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,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Արբիտրաժային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Տրիբունալի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և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Կենտրոնի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միջև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գրավոր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փաստաթղթերի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փոխանցումը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և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ծանուցումների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իրականացումը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կատարվում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է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էլեկտրոնային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փոստի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միջոցով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`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կողմերի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նշած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հասցեի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344D99">
        <w:rPr>
          <w:rFonts w:ascii="GHEA Mariam" w:eastAsia="Tahoma" w:hAnsi="GHEA Mariam" w:cs="Tahoma"/>
          <w:color w:val="000000" w:themeColor="text1"/>
        </w:rPr>
        <w:t>միջոցով</w:t>
      </w:r>
      <w:proofErr w:type="spellEnd"/>
      <w:r w:rsidRPr="00344D99">
        <w:rPr>
          <w:rFonts w:ascii="GHEA Mariam" w:eastAsia="Tahoma" w:hAnsi="GHEA Mariam" w:cs="Tahoma"/>
          <w:color w:val="000000" w:themeColor="text1"/>
        </w:rPr>
        <w:t xml:space="preserve">: </w:t>
      </w:r>
    </w:p>
    <w:p w14:paraId="57AA1FB9" w14:textId="77777777" w:rsidR="00344D99" w:rsidRPr="00344D99" w:rsidRDefault="00344D99" w:rsidP="00344D9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</w:pP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Կողմերը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պարտավոր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են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Կենտրոնին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հայտնել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գործի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քննության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ընթացքում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իրենց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էլեկտրոնային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փոստի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փոփոխության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կամ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ծանուցումները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այլ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միջոցով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իրականացնելու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անհրաժեշտության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մասին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։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Նման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հաղորդման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բացակայության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դեպքում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փաստաթղթերի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փոխանցումը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և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ծանուցումների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իրականացումը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կատարվում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344D99">
        <w:rPr>
          <w:rFonts w:ascii="GHEA Mariam" w:eastAsia="Tahoma" w:hAnsi="GHEA Mariam" w:cs="Tahoma"/>
          <w:color w:val="000000" w:themeColor="text1"/>
          <w:sz w:val="24"/>
          <w:szCs w:val="24"/>
        </w:rPr>
        <w:t>է</w:t>
      </w:r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այն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էլեկտրոնային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հասցեով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որը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նշված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պայմանագրում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և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համարվում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պատշաճ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ծանուցում</w:t>
      </w:r>
      <w:proofErr w:type="spellEnd"/>
      <w:r w:rsidRPr="00344D99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:</w:t>
      </w:r>
    </w:p>
    <w:p w14:paraId="348FEA94" w14:textId="77777777" w:rsidR="00344D99" w:rsidRPr="00344D99" w:rsidRDefault="00344D99" w:rsidP="00344D9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</w:pP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Արբիտրաժային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Տրիբունալի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կողմից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ճանաչված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կամ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օրենքի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ուժով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կողմերի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միջև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կնքված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պայմանագրի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կամ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դրա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որևէ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դրույթի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անվավերությունը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չի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հանգեցնում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սույն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արբիտրաժային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համաձայնության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անվավերության</w:t>
      </w:r>
      <w:proofErr w:type="spellEnd"/>
      <w:r w:rsidRPr="00344D99">
        <w:rPr>
          <w:rFonts w:ascii="GHEA Mariam" w:eastAsia="GHEA Grapalat" w:hAnsi="GHEA Mariam" w:cs="GHEA Grapalat"/>
          <w:color w:val="000000" w:themeColor="text1"/>
          <w:sz w:val="24"/>
          <w:szCs w:val="24"/>
          <w:lang w:val="en-US"/>
        </w:rPr>
        <w:t>։</w:t>
      </w:r>
    </w:p>
    <w:p w14:paraId="1026F899" w14:textId="77777777" w:rsidR="00344D99" w:rsidRDefault="00344D99" w:rsidP="00344D99">
      <w:pPr>
        <w:jc w:val="both"/>
        <w:rPr>
          <w:rFonts w:ascii="GHEA Grapalat" w:eastAsia="Times New Roman" w:hAnsi="GHEA Grapalat" w:cs="Times New Roman"/>
          <w:color w:val="000000" w:themeColor="text1"/>
          <w:sz w:val="22"/>
          <w:szCs w:val="22"/>
        </w:rPr>
      </w:pPr>
    </w:p>
    <w:p w14:paraId="5AD8AD38" w14:textId="77777777" w:rsidR="00221FCB" w:rsidRDefault="00221FCB" w:rsidP="00221FCB"/>
    <w:p w14:paraId="3BF3F45B" w14:textId="19FFAD50" w:rsidR="00B831C3" w:rsidRPr="00FC4033" w:rsidRDefault="00B831C3" w:rsidP="001633D0">
      <w:pPr>
        <w:jc w:val="center"/>
      </w:pPr>
    </w:p>
    <w:sectPr w:rsidR="00B831C3" w:rsidRPr="00FC4033" w:rsidSect="000F447D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B8F4" w14:textId="77777777" w:rsidR="00C059A4" w:rsidRDefault="00C059A4" w:rsidP="00B831C3">
      <w:r>
        <w:separator/>
      </w:r>
    </w:p>
  </w:endnote>
  <w:endnote w:type="continuationSeparator" w:id="0">
    <w:p w14:paraId="32199575" w14:textId="77777777" w:rsidR="00C059A4" w:rsidRDefault="00C059A4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1F724BF" w:rsidR="00B831C3" w:rsidRPr="00F84307" w:rsidRDefault="00FB6133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Հասցե՝ Երևան,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Արշակունյաց պող</w:t>
    </w:r>
    <w:r>
      <w:rPr>
        <w:rFonts w:ascii="Cambria Math" w:hAnsi="Cambria Math"/>
        <w:i/>
        <w:iCs/>
        <w:sz w:val="20"/>
        <w:szCs w:val="20"/>
        <w:lang w:val="hy-AM"/>
      </w:rPr>
      <w:t>․</w:t>
    </w:r>
    <w:r>
      <w:rPr>
        <w:rFonts w:ascii="GHEA Mariam" w:hAnsi="GHEA Mariam"/>
        <w:i/>
        <w:iCs/>
        <w:sz w:val="20"/>
        <w:szCs w:val="20"/>
        <w:lang w:val="hy-AM"/>
      </w:rPr>
      <w:t xml:space="preserve"> 51</w:t>
    </w:r>
  </w:p>
  <w:p w14:paraId="4A26A54C" w14:textId="105242D8" w:rsidR="00B831C3" w:rsidRPr="00F84307" w:rsidRDefault="00FB6133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Հեռ</w:t>
    </w:r>
    <w:r>
      <w:rPr>
        <w:rFonts w:ascii="Cambria Math" w:hAnsi="Cambria Math"/>
        <w:i/>
        <w:iCs/>
        <w:sz w:val="20"/>
        <w:szCs w:val="20"/>
        <w:lang w:val="hy-AM"/>
      </w:rPr>
      <w:t>․՝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  <w:r>
      <w:rPr>
        <w:rFonts w:ascii="GHEA Mariam" w:hAnsi="GHEA Mariam"/>
        <w:i/>
        <w:iCs/>
        <w:sz w:val="20"/>
        <w:szCs w:val="20"/>
        <w:lang w:val="hy-AM"/>
      </w:rPr>
      <w:t>51</w:t>
    </w:r>
  </w:p>
  <w:p w14:paraId="47A036EA" w14:textId="4530124A" w:rsidR="00B831C3" w:rsidRPr="00344D99" w:rsidRDefault="00FB6133" w:rsidP="00B831C3">
    <w:pPr>
      <w:pStyle w:val="Footer"/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>
      <w:rPr>
        <w:rFonts w:ascii="Cambria Math" w:hAnsi="Cambria Math"/>
        <w:i/>
        <w:iCs/>
        <w:sz w:val="20"/>
        <w:szCs w:val="20"/>
        <w:lang w:val="hy-AM"/>
      </w:rPr>
      <w:t xml:space="preserve">․փոստ՝ </w:t>
    </w:r>
    <w:r w:rsidR="00B831C3" w:rsidRPr="00344D99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1" w:history="1">
      <w:r w:rsidR="00B831C3" w:rsidRPr="00344D99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info@amca.am</w:t>
      </w:r>
    </w:hyperlink>
    <w:r w:rsidR="00B831C3" w:rsidRPr="00344D99">
      <w:rPr>
        <w:rFonts w:ascii="GHEA Mariam" w:hAnsi="GHEA Mariam"/>
        <w:i/>
        <w:iCs/>
        <w:sz w:val="20"/>
        <w:szCs w:val="20"/>
        <w:lang w:val="hy-AM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344D99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www.amca.am</w:t>
      </w:r>
    </w:hyperlink>
    <w:r w:rsidR="00B831C3" w:rsidRPr="00344D99">
      <w:rPr>
        <w:rFonts w:ascii="GHEA Mariam" w:hAnsi="GHEA Mariam"/>
        <w:i/>
        <w:iCs/>
        <w:sz w:val="20"/>
        <w:szCs w:val="20"/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244F" w14:textId="77777777" w:rsidR="00C059A4" w:rsidRDefault="00C059A4" w:rsidP="00B831C3">
      <w:r>
        <w:separator/>
      </w:r>
    </w:p>
  </w:footnote>
  <w:footnote w:type="continuationSeparator" w:id="0">
    <w:p w14:paraId="31DE63F9" w14:textId="77777777" w:rsidR="00C059A4" w:rsidRDefault="00C059A4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B79"/>
    <w:multiLevelType w:val="hybridMultilevel"/>
    <w:tmpl w:val="029A2466"/>
    <w:lvl w:ilvl="0" w:tplc="DF509088">
      <w:start w:val="1"/>
      <w:numFmt w:val="decimal"/>
      <w:lvlText w:val="(%1)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90"/>
    <w:multiLevelType w:val="hybridMultilevel"/>
    <w:tmpl w:val="C4C8A7CE"/>
    <w:lvl w:ilvl="0" w:tplc="F33CF694">
      <w:start w:val="1"/>
      <w:numFmt w:val="upperRoman"/>
      <w:lvlText w:val="%1."/>
      <w:lvlJc w:val="left"/>
      <w:pPr>
        <w:ind w:left="771" w:hanging="360"/>
      </w:pPr>
      <w:rPr>
        <w:rFonts w:ascii="GHEA Mariam" w:eastAsia="Times New Roman" w:hAnsi="GHEA Mariam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0F447D"/>
    <w:rsid w:val="00103B3A"/>
    <w:rsid w:val="001633D0"/>
    <w:rsid w:val="00221FCB"/>
    <w:rsid w:val="00344D99"/>
    <w:rsid w:val="00383DB2"/>
    <w:rsid w:val="003C4E50"/>
    <w:rsid w:val="00515983"/>
    <w:rsid w:val="005B5383"/>
    <w:rsid w:val="008F0277"/>
    <w:rsid w:val="00906139"/>
    <w:rsid w:val="009E7454"/>
    <w:rsid w:val="00AA4BA2"/>
    <w:rsid w:val="00AE3AD3"/>
    <w:rsid w:val="00B23BAE"/>
    <w:rsid w:val="00B831C3"/>
    <w:rsid w:val="00BC714A"/>
    <w:rsid w:val="00C059A4"/>
    <w:rsid w:val="00C7377B"/>
    <w:rsid w:val="00CA2B8C"/>
    <w:rsid w:val="00D87B43"/>
    <w:rsid w:val="00DD3F81"/>
    <w:rsid w:val="00E056B3"/>
    <w:rsid w:val="00E413A3"/>
    <w:rsid w:val="00F67393"/>
    <w:rsid w:val="00F84307"/>
    <w:rsid w:val="00FB6133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2024-02-01T13:45:00Z</cp:lastPrinted>
  <dcterms:created xsi:type="dcterms:W3CDTF">2024-02-05T05:58:00Z</dcterms:created>
  <dcterms:modified xsi:type="dcterms:W3CDTF">2024-02-05T05:58:00Z</dcterms:modified>
</cp:coreProperties>
</file>